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93" w:rsidRDefault="002A0493" w:rsidP="002A0493">
      <w:pPr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לקראת שנת הלימודים תשפ"א</w:t>
      </w:r>
    </w:p>
    <w:p w:rsidR="002A0493" w:rsidRDefault="002A0493" w:rsidP="002A0493">
      <w:pPr>
        <w:rPr>
          <w:rFonts w:cs="David" w:hint="cs"/>
          <w:sz w:val="24"/>
          <w:szCs w:val="24"/>
          <w:rtl/>
        </w:rPr>
      </w:pPr>
    </w:p>
    <w:p w:rsidR="002A0493" w:rsidRPr="00194024" w:rsidRDefault="002A0493" w:rsidP="002A0493">
      <w:pPr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>מורים יקרים ומורות יקרות!</w:t>
      </w:r>
    </w:p>
    <w:p w:rsidR="002A0493" w:rsidRDefault="002A0493" w:rsidP="002A0493">
      <w:pPr>
        <w:rPr>
          <w:rFonts w:cs="David" w:hint="cs"/>
          <w:sz w:val="24"/>
          <w:szCs w:val="24"/>
          <w:rtl/>
        </w:rPr>
      </w:pPr>
    </w:p>
    <w:p w:rsidR="002A0493" w:rsidRDefault="002A0493" w:rsidP="002A0493">
      <w:pPr>
        <w:spacing w:after="240"/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 xml:space="preserve">לפניכם דפים העוסקים ברמת המוכנות לימים הראשונים. הדפים הם בתחום ההבחנה החזותית ובתחום הכיווניות (תחילה כיווניות למעלה ולמטה ולאחר מכן כיווניות ימינה ושמאלה). </w:t>
      </w:r>
    </w:p>
    <w:tbl>
      <w:tblPr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286"/>
      </w:tblGrid>
      <w:tr w:rsidR="002A0493" w:rsidRPr="00194024" w:rsidTr="000302AE">
        <w:tc>
          <w:tcPr>
            <w:tcW w:w="9286" w:type="dxa"/>
            <w:shd w:val="clear" w:color="auto" w:fill="BFBFBF"/>
          </w:tcPr>
          <w:p w:rsidR="002A0493" w:rsidRPr="00194024" w:rsidRDefault="002A0493" w:rsidP="000302AE">
            <w:pPr>
              <w:spacing w:before="240" w:after="240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194024">
              <w:rPr>
                <w:rFonts w:cs="David" w:hint="cs"/>
                <w:sz w:val="24"/>
                <w:szCs w:val="24"/>
                <w:rtl/>
              </w:rPr>
              <w:t>כאשר עוברים לעבוד בדפי</w:t>
            </w:r>
            <w:r>
              <w:rPr>
                <w:rFonts w:cs="David" w:hint="cs"/>
                <w:sz w:val="24"/>
                <w:szCs w:val="24"/>
                <w:rtl/>
              </w:rPr>
              <w:t>ם</w:t>
            </w:r>
            <w:bookmarkStart w:id="0" w:name="_GoBack"/>
            <w:bookmarkEnd w:id="0"/>
            <w:r w:rsidRPr="00194024">
              <w:rPr>
                <w:rFonts w:cs="David" w:hint="cs"/>
                <w:sz w:val="24"/>
                <w:szCs w:val="24"/>
                <w:rtl/>
              </w:rPr>
              <w:t>, חשוב לבקש מהתלמידים לומר מה הם רואים בתמונה.</w:t>
            </w:r>
          </w:p>
        </w:tc>
      </w:tr>
    </w:tbl>
    <w:p w:rsidR="002A0493" w:rsidRDefault="002A0493" w:rsidP="002A0493">
      <w:pPr>
        <w:spacing w:after="240"/>
        <w:rPr>
          <w:rFonts w:cs="David" w:hint="cs"/>
          <w:sz w:val="24"/>
          <w:szCs w:val="24"/>
          <w:rtl/>
        </w:rPr>
      </w:pPr>
    </w:p>
    <w:p w:rsidR="002A0493" w:rsidRPr="00194024" w:rsidRDefault="002A0493" w:rsidP="002A0493">
      <w:pPr>
        <w:numPr>
          <w:ilvl w:val="0"/>
          <w:numId w:val="1"/>
        </w:numPr>
        <w:spacing w:after="240"/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>במידת הצורך יש להרחיב את הטיפול בתחומי ה</w:t>
      </w:r>
      <w:r w:rsidRPr="00194024">
        <w:rPr>
          <w:rFonts w:cs="David" w:hint="cs"/>
          <w:b/>
          <w:bCs/>
          <w:sz w:val="24"/>
          <w:szCs w:val="24"/>
          <w:rtl/>
        </w:rPr>
        <w:t>כיווניות</w:t>
      </w:r>
      <w:r w:rsidRPr="00194024">
        <w:rPr>
          <w:rFonts w:cs="David" w:hint="cs"/>
          <w:sz w:val="24"/>
          <w:szCs w:val="24"/>
          <w:rtl/>
        </w:rPr>
        <w:t xml:space="preserve"> גם במשך החודשים הראשונים של השנה.</w:t>
      </w:r>
    </w:p>
    <w:p w:rsidR="002A0493" w:rsidRPr="00194024" w:rsidRDefault="002A0493" w:rsidP="002A0493">
      <w:pPr>
        <w:numPr>
          <w:ilvl w:val="0"/>
          <w:numId w:val="1"/>
        </w:numPr>
        <w:spacing w:after="240"/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>לאחר מכן מומלץ לעבוד על יכולת ה</w:t>
      </w:r>
      <w:r w:rsidRPr="00194024">
        <w:rPr>
          <w:rFonts w:cs="David" w:hint="cs"/>
          <w:b/>
          <w:bCs/>
          <w:sz w:val="24"/>
          <w:szCs w:val="24"/>
          <w:rtl/>
        </w:rPr>
        <w:t>הכללה</w:t>
      </w:r>
      <w:r w:rsidRPr="00194024">
        <w:rPr>
          <w:rFonts w:cs="David" w:hint="cs"/>
          <w:sz w:val="24"/>
          <w:szCs w:val="24"/>
          <w:rtl/>
        </w:rPr>
        <w:t xml:space="preserve">. אפשר להרחיב את הנושא במידת הצורך ובהתאם לנושא הנלמד. </w:t>
      </w:r>
    </w:p>
    <w:p w:rsidR="002A0493" w:rsidRPr="00194024" w:rsidRDefault="002A0493" w:rsidP="002A0493">
      <w:pPr>
        <w:numPr>
          <w:ilvl w:val="0"/>
          <w:numId w:val="1"/>
        </w:numPr>
        <w:spacing w:after="240"/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>כאשר בודקים מה</w:t>
      </w:r>
      <w:r>
        <w:rPr>
          <w:rFonts w:cs="David" w:hint="cs"/>
          <w:sz w:val="24"/>
          <w:szCs w:val="24"/>
          <w:rtl/>
        </w:rPr>
        <w:t xml:space="preserve"> </w:t>
      </w:r>
      <w:r w:rsidRPr="00194024">
        <w:rPr>
          <w:rFonts w:cs="David" w:hint="cs"/>
          <w:b/>
          <w:bCs/>
          <w:sz w:val="24"/>
          <w:szCs w:val="24"/>
          <w:rtl/>
        </w:rPr>
        <w:t>יוצא דופן</w:t>
      </w:r>
      <w:r>
        <w:rPr>
          <w:rFonts w:cs="David" w:hint="cs"/>
          <w:sz w:val="24"/>
          <w:szCs w:val="24"/>
          <w:rtl/>
        </w:rPr>
        <w:t xml:space="preserve">, כלומר מה </w:t>
      </w:r>
      <w:r w:rsidRPr="00194024">
        <w:rPr>
          <w:rFonts w:cs="David" w:hint="cs"/>
          <w:sz w:val="24"/>
          <w:szCs w:val="24"/>
          <w:rtl/>
        </w:rPr>
        <w:t xml:space="preserve"> לא שייך לקבוצה, יש להרגיל אותם לחשוב כך: סוס,  כלב  וחתול  שייכים לקבוצת בעלי החיים, אבל כיסא אינו שייך לקבוצה זו. לכן הוא יוצא דופן.</w:t>
      </w:r>
    </w:p>
    <w:p w:rsidR="002A0493" w:rsidRDefault="002A0493" w:rsidP="002A0493">
      <w:pPr>
        <w:numPr>
          <w:ilvl w:val="0"/>
          <w:numId w:val="1"/>
        </w:numPr>
        <w:rPr>
          <w:rFonts w:cs="David" w:hint="cs"/>
          <w:sz w:val="24"/>
          <w:szCs w:val="24"/>
        </w:rPr>
      </w:pPr>
      <w:r w:rsidRPr="00194024">
        <w:rPr>
          <w:rFonts w:cs="David" w:hint="cs"/>
          <w:sz w:val="24"/>
          <w:szCs w:val="24"/>
          <w:rtl/>
        </w:rPr>
        <w:t>לפני העבודה ב</w:t>
      </w:r>
      <w:r w:rsidRPr="00194024">
        <w:rPr>
          <w:rFonts w:cs="David" w:hint="cs"/>
          <w:b/>
          <w:bCs/>
          <w:sz w:val="24"/>
          <w:szCs w:val="24"/>
          <w:rtl/>
        </w:rPr>
        <w:t xml:space="preserve">מודעות פונולוגית </w:t>
      </w:r>
      <w:r w:rsidRPr="00194024">
        <w:rPr>
          <w:rFonts w:cs="David" w:hint="cs"/>
          <w:sz w:val="24"/>
          <w:szCs w:val="24"/>
          <w:rtl/>
        </w:rPr>
        <w:t xml:space="preserve">חשוב לעבוד עם התלמידים במליאה או בקבוצות עבודה </w:t>
      </w:r>
      <w:r>
        <w:rPr>
          <w:rFonts w:cs="David" w:hint="cs"/>
          <w:sz w:val="24"/>
          <w:szCs w:val="24"/>
          <w:rtl/>
        </w:rPr>
        <w:t xml:space="preserve">ולפרק תחילה מילים ברמה הברתית. </w:t>
      </w:r>
      <w:r w:rsidRPr="00194024">
        <w:rPr>
          <w:rFonts w:cs="David" w:hint="cs"/>
          <w:sz w:val="24"/>
          <w:szCs w:val="24"/>
          <w:rtl/>
        </w:rPr>
        <w:t xml:space="preserve">עבודה </w:t>
      </w:r>
      <w:r>
        <w:rPr>
          <w:rFonts w:cs="David" w:hint="cs"/>
          <w:sz w:val="24"/>
          <w:szCs w:val="24"/>
          <w:rtl/>
        </w:rPr>
        <w:t>ברמה זו תעניק לילדים תחושת הצלחה, משום ש</w:t>
      </w:r>
      <w:r w:rsidRPr="00194024">
        <w:rPr>
          <w:rFonts w:cs="David" w:hint="cs"/>
          <w:sz w:val="24"/>
          <w:szCs w:val="24"/>
          <w:rtl/>
        </w:rPr>
        <w:t>הם שולטים ברמת חלוקה זו</w:t>
      </w:r>
      <w:r>
        <w:rPr>
          <w:rFonts w:cs="David" w:hint="cs"/>
          <w:sz w:val="24"/>
          <w:szCs w:val="24"/>
          <w:rtl/>
        </w:rPr>
        <w:t>.</w:t>
      </w:r>
      <w:r w:rsidRPr="00194024">
        <w:rPr>
          <w:rFonts w:cs="David" w:hint="cs"/>
          <w:sz w:val="24"/>
          <w:szCs w:val="24"/>
          <w:rtl/>
        </w:rPr>
        <w:t xml:space="preserve"> רק לאחר מכן יש לתרגל חלוקת מילים לרמה תת</w:t>
      </w:r>
      <w:r>
        <w:rPr>
          <w:rFonts w:cs="David" w:hint="cs"/>
          <w:sz w:val="24"/>
          <w:szCs w:val="24"/>
          <w:rtl/>
        </w:rPr>
        <w:t xml:space="preserve">-הברתית או לפרק </w:t>
      </w:r>
      <w:r w:rsidRPr="00194024">
        <w:rPr>
          <w:rFonts w:cs="David" w:hint="cs"/>
          <w:sz w:val="24"/>
          <w:szCs w:val="24"/>
          <w:rtl/>
        </w:rPr>
        <w:t xml:space="preserve">מילה לתת הברה פותחת בלבד. </w:t>
      </w:r>
    </w:p>
    <w:p w:rsidR="002A0493" w:rsidRDefault="002A0493" w:rsidP="002A0493">
      <w:pPr>
        <w:ind w:left="360"/>
        <w:rPr>
          <w:rFonts w:cs="David" w:hint="cs"/>
          <w:sz w:val="24"/>
          <w:szCs w:val="24"/>
          <w:rtl/>
        </w:rPr>
      </w:pPr>
      <w:r w:rsidRPr="00194024">
        <w:rPr>
          <w:rFonts w:cs="David" w:hint="cs"/>
          <w:sz w:val="24"/>
          <w:szCs w:val="24"/>
          <w:rtl/>
        </w:rPr>
        <w:t>חשוב לזכור שרמת חלוקה זו א</w:t>
      </w:r>
      <w:r>
        <w:rPr>
          <w:rFonts w:cs="David" w:hint="cs"/>
          <w:sz w:val="24"/>
          <w:szCs w:val="24"/>
          <w:rtl/>
        </w:rPr>
        <w:t>ינה</w:t>
      </w:r>
      <w:r w:rsidRPr="00194024">
        <w:rPr>
          <w:rFonts w:cs="David" w:hint="cs"/>
          <w:sz w:val="24"/>
          <w:szCs w:val="24"/>
          <w:rtl/>
        </w:rPr>
        <w:t xml:space="preserve"> נהירה לתלמידים </w:t>
      </w:r>
      <w:r>
        <w:rPr>
          <w:rFonts w:cs="David" w:hint="cs"/>
          <w:sz w:val="24"/>
          <w:szCs w:val="24"/>
          <w:rtl/>
        </w:rPr>
        <w:t>ש</w:t>
      </w:r>
      <w:r w:rsidRPr="00194024">
        <w:rPr>
          <w:rFonts w:cs="David" w:hint="cs"/>
          <w:sz w:val="24"/>
          <w:szCs w:val="24"/>
          <w:rtl/>
        </w:rPr>
        <w:t xml:space="preserve">לא תרגלו אותה בגן הילדים, לכן </w:t>
      </w:r>
      <w:r>
        <w:rPr>
          <w:rFonts w:cs="David" w:hint="cs"/>
          <w:sz w:val="24"/>
          <w:szCs w:val="24"/>
          <w:rtl/>
        </w:rPr>
        <w:t xml:space="preserve">חשוב </w:t>
      </w:r>
      <w:r w:rsidRPr="00194024">
        <w:rPr>
          <w:rFonts w:cs="David" w:hint="cs"/>
          <w:sz w:val="24"/>
          <w:szCs w:val="24"/>
          <w:rtl/>
        </w:rPr>
        <w:t>לתרגל הפרדת מילה לצליל פותח או לכל הצלילים ברמה תת</w:t>
      </w:r>
      <w:r>
        <w:rPr>
          <w:rFonts w:cs="David" w:hint="cs"/>
          <w:sz w:val="24"/>
          <w:szCs w:val="24"/>
          <w:rtl/>
        </w:rPr>
        <w:t>-</w:t>
      </w:r>
      <w:r w:rsidRPr="00194024">
        <w:rPr>
          <w:rFonts w:cs="David" w:hint="cs"/>
          <w:sz w:val="24"/>
          <w:szCs w:val="24"/>
          <w:rtl/>
        </w:rPr>
        <w:t xml:space="preserve">הברתית. </w:t>
      </w:r>
    </w:p>
    <w:p w:rsidR="00601766" w:rsidRPr="002A0493" w:rsidRDefault="002A0493" w:rsidP="002A0493">
      <w:pPr>
        <w:spacing w:after="240"/>
        <w:ind w:left="360"/>
        <w:rPr>
          <w:rFonts w:cs="David"/>
          <w:sz w:val="24"/>
          <w:szCs w:val="24"/>
        </w:rPr>
      </w:pPr>
      <w:r w:rsidRPr="00194024">
        <w:rPr>
          <w:rFonts w:cs="David" w:hint="cs"/>
          <w:sz w:val="24"/>
          <w:szCs w:val="24"/>
          <w:rtl/>
        </w:rPr>
        <w:t>מומל</w:t>
      </w:r>
      <w:r>
        <w:rPr>
          <w:rFonts w:cs="David" w:hint="cs"/>
          <w:sz w:val="24"/>
          <w:szCs w:val="24"/>
          <w:rtl/>
        </w:rPr>
        <w:t xml:space="preserve">ץ לקרוא </w:t>
      </w:r>
      <w:r w:rsidRPr="00194024">
        <w:rPr>
          <w:rFonts w:cs="David" w:hint="cs"/>
          <w:sz w:val="24"/>
          <w:szCs w:val="24"/>
          <w:rtl/>
        </w:rPr>
        <w:t>המלצות לחיזוק המודעות הפונולוגית</w:t>
      </w:r>
      <w:r>
        <w:rPr>
          <w:rFonts w:cs="David" w:hint="cs"/>
          <w:sz w:val="24"/>
          <w:szCs w:val="24"/>
          <w:rtl/>
        </w:rPr>
        <w:t xml:space="preserve"> (מדריך למורה, עמוד 157)</w:t>
      </w:r>
      <w:r>
        <w:rPr>
          <w:rFonts w:cs="David" w:hint="cs"/>
          <w:sz w:val="24"/>
          <w:szCs w:val="24"/>
          <w:rtl/>
        </w:rPr>
        <w:t>.</w:t>
      </w:r>
    </w:p>
    <w:sectPr w:rsidR="00601766" w:rsidRPr="002A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4642"/>
    <w:multiLevelType w:val="hybridMultilevel"/>
    <w:tmpl w:val="18666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93"/>
    <w:rsid w:val="002A0493"/>
    <w:rsid w:val="006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93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93"/>
    <w:pPr>
      <w:bidi/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2020-09-01T04:37:00Z</dcterms:created>
  <dcterms:modified xsi:type="dcterms:W3CDTF">2020-09-01T04:40:00Z</dcterms:modified>
</cp:coreProperties>
</file>